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852FB">
      <w:pPr>
        <w:keepNext w:val="0"/>
        <w:keepLines w:val="0"/>
        <w:widowControl/>
        <w:suppressLineNumbers w:val="0"/>
        <w:jc w:val="center"/>
        <w:rPr>
          <w:rFonts w:hint="default" w:ascii="Arial Regular" w:hAnsi="Arial Regular" w:eastAsia="SimSun" w:cs="Arial Regular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Arial Bold" w:hAnsi="Arial Bold" w:eastAsia="SimSun" w:cs="Arial Bold"/>
          <w:b/>
          <w:bCs/>
          <w:kern w:val="0"/>
          <w:sz w:val="28"/>
          <w:szCs w:val="28"/>
          <w:lang w:val="en-US" w:eastAsia="zh-CN" w:bidi="ar"/>
        </w:rPr>
        <w:t>PERATURAN, KEPUTUSAN, DAN KEBIJAKAN</w:t>
      </w:r>
      <w:r>
        <w:rPr>
          <w:rFonts w:hint="default" w:ascii="Arial Bold" w:hAnsi="Arial Bold" w:eastAsia="SimSun" w:cs="Arial Bold"/>
          <w:b/>
          <w:bCs/>
          <w:kern w:val="0"/>
          <w:sz w:val="28"/>
          <w:szCs w:val="28"/>
          <w:lang w:val="en-US" w:eastAsia="zh-CN" w:bidi="ar"/>
        </w:rPr>
        <w:t xml:space="preserve"> TERKAIT KEBUDAYAAN</w:t>
      </w:r>
    </w:p>
    <w:p w14:paraId="0688D527">
      <w:pPr>
        <w:keepNext w:val="0"/>
        <w:keepLines w:val="0"/>
        <w:widowControl/>
        <w:suppressLineNumbers w:val="0"/>
        <w:jc w:val="left"/>
        <w:rPr>
          <w:rFonts w:hint="default" w:ascii="Arial Regular" w:hAnsi="Arial Regular" w:eastAsia="SimSun" w:cs="Arial Regular"/>
          <w:b w:val="0"/>
          <w:bCs w:val="0"/>
          <w:kern w:val="0"/>
          <w:sz w:val="24"/>
          <w:szCs w:val="24"/>
          <w:lang w:val="en-US" w:eastAsia="zh-CN" w:bidi="ar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9"/>
        <w:gridCol w:w="1786"/>
        <w:gridCol w:w="6161"/>
      </w:tblGrid>
      <w:tr w14:paraId="6DA8DE98"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35565FF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No.</w:t>
            </w:r>
          </w:p>
        </w:tc>
        <w:tc>
          <w:tcPr>
            <w:tcW w:w="0" w:type="auto"/>
            <w:shd w:val="clear"/>
            <w:vAlign w:val="center"/>
          </w:tcPr>
          <w:p w14:paraId="2B25B8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Jenis Dokumen</w:t>
            </w:r>
          </w:p>
        </w:tc>
        <w:tc>
          <w:tcPr>
            <w:tcW w:w="0" w:type="auto"/>
            <w:shd w:val="clear"/>
            <w:vAlign w:val="center"/>
          </w:tcPr>
          <w:p w14:paraId="5F1240B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Dokumen/Kebijakan</w:t>
            </w:r>
          </w:p>
        </w:tc>
      </w:tr>
      <w:tr w14:paraId="6B184E2D"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7C6AC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76DFF1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Peraturan Daerah</w:t>
            </w:r>
          </w:p>
        </w:tc>
        <w:tc>
          <w:tcPr>
            <w:tcW w:w="0" w:type="auto"/>
            <w:shd w:val="clear"/>
            <w:vAlign w:val="center"/>
          </w:tcPr>
          <w:p w14:paraId="35856D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Perda Provinsi Kepulauan Riau Nomor 1 Tahun 2014 tentang </w:t>
            </w: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Lembaga Adat Melayu Kepulauan Riau</w:t>
            </w:r>
          </w:p>
        </w:tc>
      </w:tr>
      <w:tr w14:paraId="227858FA"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B784C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2D2EA34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Peraturan Daerah</w:t>
            </w:r>
          </w:p>
        </w:tc>
        <w:tc>
          <w:tcPr>
            <w:tcW w:w="0" w:type="auto"/>
            <w:shd w:val="clear"/>
            <w:vAlign w:val="center"/>
          </w:tcPr>
          <w:p w14:paraId="72527E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Perda Provinsi Kepulauan Riau Nomor 7 Tahun 2015 tentang </w:t>
            </w: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Pelestarian dan Pengelolaan Cagar Budaya Provinsi Kepulauan Riau</w:t>
            </w:r>
          </w:p>
        </w:tc>
      </w:tr>
      <w:tr w14:paraId="6B7CDBA2"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AC7E8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/>
            <w:vAlign w:val="center"/>
          </w:tcPr>
          <w:p w14:paraId="1CEC4B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Peraturan Daerah</w:t>
            </w:r>
          </w:p>
        </w:tc>
        <w:tc>
          <w:tcPr>
            <w:tcW w:w="0" w:type="auto"/>
            <w:shd w:val="clear"/>
            <w:vAlign w:val="center"/>
          </w:tcPr>
          <w:p w14:paraId="1D2352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Perda Provinsi Kepulauan Riau Nomor 1 Tahun 2019 tentang </w:t>
            </w: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Bangunan Berciri Khas Melayu</w:t>
            </w:r>
          </w:p>
        </w:tc>
      </w:tr>
      <w:tr w14:paraId="0EE482A4"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A20B2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 w14:paraId="5A241F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Peraturan Daerah</w:t>
            </w:r>
          </w:p>
        </w:tc>
        <w:tc>
          <w:tcPr>
            <w:tcW w:w="0" w:type="auto"/>
            <w:shd w:val="clear"/>
            <w:vAlign w:val="center"/>
          </w:tcPr>
          <w:p w14:paraId="756BEE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Perda Provinsi Kepulauan Riau Nomor 4 Tahun 2021 tentang </w:t>
            </w: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Pembentukan dan Susunan Perangkat Daerah</w:t>
            </w:r>
          </w:p>
        </w:tc>
      </w:tr>
      <w:tr w14:paraId="2759BCEA"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A348C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/>
            <w:vAlign w:val="center"/>
          </w:tcPr>
          <w:p w14:paraId="4B629D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Peraturan Gubernur</w:t>
            </w:r>
          </w:p>
        </w:tc>
        <w:tc>
          <w:tcPr>
            <w:tcW w:w="0" w:type="auto"/>
            <w:shd w:val="clear"/>
            <w:vAlign w:val="center"/>
          </w:tcPr>
          <w:p w14:paraId="6D5EEB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Pergub Kepulauan Riau Nomor 12 Tahun 2023 tentang </w:t>
            </w: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Kedudukan, Susunan Organisasi, Tugas dan Fungsi serta Tata Kerja Perangkat Daerah</w:t>
            </w:r>
          </w:p>
        </w:tc>
      </w:tr>
      <w:tr w14:paraId="4DFF9923"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D2670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/>
            <w:vAlign w:val="center"/>
          </w:tcPr>
          <w:p w14:paraId="79267E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Keputusan Gubernur</w:t>
            </w:r>
          </w:p>
        </w:tc>
        <w:tc>
          <w:tcPr>
            <w:tcW w:w="0" w:type="auto"/>
            <w:shd w:val="clear"/>
            <w:vAlign w:val="center"/>
          </w:tcPr>
          <w:p w14:paraId="73690B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Keputusan Gubernur yang berkaitan dengan </w:t>
            </w: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penetapan/pelindungan/pengelolaan kebudayaan dan cagar budaya</w:t>
            </w:r>
          </w:p>
        </w:tc>
      </w:tr>
      <w:tr w14:paraId="443436C9"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46FFA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/>
            <w:vAlign w:val="center"/>
          </w:tcPr>
          <w:p w14:paraId="67122E2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Keputusan Kepala Dinas</w:t>
            </w:r>
          </w:p>
        </w:tc>
        <w:tc>
          <w:tcPr>
            <w:tcW w:w="0" w:type="auto"/>
            <w:shd w:val="clear"/>
            <w:vAlign w:val="center"/>
          </w:tcPr>
          <w:p w14:paraId="7DC549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Keputusan Kepala Dinas Kebudayaan tentang </w:t>
            </w: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pelaksanaan tugas dan kegiatan Dinas Kebudayaan</w:t>
            </w:r>
          </w:p>
        </w:tc>
      </w:tr>
      <w:tr w14:paraId="62269172"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0A42D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/>
            <w:vAlign w:val="center"/>
          </w:tcPr>
          <w:p w14:paraId="77E326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Kebijakan Internal</w:t>
            </w:r>
          </w:p>
        </w:tc>
        <w:tc>
          <w:tcPr>
            <w:tcW w:w="0" w:type="auto"/>
            <w:shd w:val="clear"/>
            <w:vAlign w:val="center"/>
          </w:tcPr>
          <w:p w14:paraId="79C416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Standar Operasional Prosedur (SOP) pelayanan dan pelaksanaan tugas Dinas Kebudayaan</w:t>
            </w:r>
          </w:p>
        </w:tc>
      </w:tr>
      <w:tr w14:paraId="0E2B394C"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9C102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/>
            <w:vAlign w:val="center"/>
          </w:tcPr>
          <w:p w14:paraId="3FD6DB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Kebijakan Pelayanan Publik</w:t>
            </w:r>
          </w:p>
        </w:tc>
        <w:tc>
          <w:tcPr>
            <w:tcW w:w="0" w:type="auto"/>
            <w:shd w:val="clear"/>
            <w:vAlign w:val="center"/>
          </w:tcPr>
          <w:p w14:paraId="466FBF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Standar Pelayanan dan Maklumat Pelayanan Dinas Kebudayaan</w:t>
            </w:r>
          </w:p>
        </w:tc>
      </w:tr>
      <w:tr w14:paraId="70D0C5CD"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2D1EC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/>
            <w:vAlign w:val="center"/>
          </w:tcPr>
          <w:p w14:paraId="02415B4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Kebijakan PPID</w:t>
            </w:r>
          </w:p>
        </w:tc>
        <w:tc>
          <w:tcPr>
            <w:tcW w:w="0" w:type="auto"/>
            <w:shd w:val="clear"/>
            <w:vAlign w:val="center"/>
          </w:tcPr>
          <w:p w14:paraId="5F8C85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Kebijakan pengelolaan dan pelayanan Informasi Publik pada Dinas Kebudayaan</w:t>
            </w:r>
          </w:p>
        </w:tc>
      </w:tr>
      <w:tr w14:paraId="6F535499"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CC7A73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0" w:type="auto"/>
            <w:shd w:val="clear"/>
            <w:vAlign w:val="center"/>
          </w:tcPr>
          <w:p w14:paraId="717A91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Kebijakan Perencanaan</w:t>
            </w:r>
          </w:p>
        </w:tc>
        <w:tc>
          <w:tcPr>
            <w:tcW w:w="0" w:type="auto"/>
            <w:shd w:val="clear"/>
            <w:vAlign w:val="center"/>
          </w:tcPr>
          <w:p w14:paraId="59F37B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Renstra, Renja, Perjanjian Kinerja dan dokumen perencanaan Dinas Kebudayaan</w:t>
            </w:r>
          </w:p>
        </w:tc>
      </w:tr>
      <w:tr w14:paraId="2523B9B7"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BCFE6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0" w:type="auto"/>
            <w:shd w:val="clear"/>
            <w:vAlign w:val="center"/>
          </w:tcPr>
          <w:p w14:paraId="22B2DE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Style w:val="4"/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Kebijakan Pengadaan</w:t>
            </w:r>
          </w:p>
        </w:tc>
        <w:tc>
          <w:tcPr>
            <w:tcW w:w="0" w:type="auto"/>
            <w:shd w:val="clear"/>
            <w:vAlign w:val="center"/>
          </w:tcPr>
          <w:p w14:paraId="47F321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 Regular" w:hAnsi="Arial Regular" w:cs="Arial Regular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 Regular" w:hAnsi="Arial Regular" w:eastAsia="SimSun" w:cs="Arial Regular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Rencana Umum Pengadaan (RUP) dan kebijakan pelaksanaan pengadaan barang/jasa</w:t>
            </w:r>
          </w:p>
        </w:tc>
      </w:tr>
    </w:tbl>
    <w:p w14:paraId="0ABA7538">
      <w:pPr>
        <w:keepNext w:val="0"/>
        <w:keepLines w:val="0"/>
        <w:widowControl/>
        <w:suppressLineNumbers w:val="0"/>
        <w:jc w:val="left"/>
        <w:rPr>
          <w:rFonts w:hint="default" w:ascii="Arial Regular" w:hAnsi="Arial Regular" w:eastAsia="SimSun" w:cs="Arial Regular"/>
          <w:b w:val="0"/>
          <w:bCs w:val="0"/>
          <w:kern w:val="0"/>
          <w:sz w:val="24"/>
          <w:szCs w:val="24"/>
          <w:lang w:val="en-US" w:eastAsia="zh-CN" w:bidi="ar"/>
        </w:rPr>
      </w:pPr>
    </w:p>
    <w:p w14:paraId="4ACF321F">
      <w:pPr>
        <w:keepNext w:val="0"/>
        <w:keepLines w:val="0"/>
        <w:widowControl/>
        <w:suppressLineNumbers w:val="0"/>
        <w:jc w:val="both"/>
        <w:rPr>
          <w:rFonts w:hint="default" w:ascii="Arial" w:hAnsi="Arial" w:cs="Arial"/>
          <w:b w:val="0"/>
          <w:bCs w:val="0"/>
          <w:sz w:val="24"/>
          <w:szCs w:val="24"/>
        </w:rPr>
      </w:pPr>
      <w:r>
        <w:rPr>
          <w:rFonts w:hint="default" w:ascii="Arial" w:hAnsi="Arial" w:cs="Arial"/>
          <w:b w:val="0"/>
          <w:bCs w:val="0"/>
          <w:sz w:val="24"/>
          <w:szCs w:val="24"/>
          <w:lang w:val="en-US"/>
        </w:rPr>
        <w:t xml:space="preserve">CATATAN: </w:t>
      </w:r>
      <w:r>
        <w:rPr>
          <w:rFonts w:hint="default" w:ascii="Arial" w:hAnsi="Arial" w:eastAsia="SimSun" w:cs="Arial"/>
          <w:b w:val="0"/>
          <w:bCs w:val="0"/>
          <w:kern w:val="0"/>
          <w:sz w:val="24"/>
          <w:szCs w:val="24"/>
          <w:lang w:val="en-US" w:eastAsia="zh-CN" w:bidi="ar"/>
        </w:rPr>
        <w:t xml:space="preserve">Sebagian merupakan produk hukum </w:t>
      </w:r>
      <w:r>
        <w:rPr>
          <w:rStyle w:val="4"/>
          <w:rFonts w:hint="default" w:ascii="Arial" w:hAnsi="Arial" w:eastAsia="SimSun" w:cs="Arial"/>
          <w:b w:val="0"/>
          <w:bCs w:val="0"/>
          <w:kern w:val="0"/>
          <w:sz w:val="24"/>
          <w:szCs w:val="24"/>
          <w:lang w:val="en-US" w:eastAsia="zh-CN" w:bidi="ar"/>
        </w:rPr>
        <w:t>Pemprov/Gubernur/DPRD</w:t>
      </w:r>
      <w:r>
        <w:rPr>
          <w:rFonts w:hint="default" w:ascii="Arial" w:hAnsi="Arial" w:eastAsia="SimSun" w:cs="Arial"/>
          <w:b w:val="0"/>
          <w:bCs w:val="0"/>
          <w:kern w:val="0"/>
          <w:sz w:val="24"/>
          <w:szCs w:val="24"/>
          <w:lang w:val="en-US" w:eastAsia="zh-CN" w:bidi="ar"/>
        </w:rPr>
        <w:t xml:space="preserve">, tetapi menjadi </w:t>
      </w:r>
      <w:r>
        <w:rPr>
          <w:rStyle w:val="4"/>
          <w:rFonts w:hint="default" w:ascii="Arial" w:hAnsi="Arial" w:eastAsia="SimSun" w:cs="Arial"/>
          <w:b w:val="0"/>
          <w:bCs w:val="0"/>
          <w:kern w:val="0"/>
          <w:sz w:val="24"/>
          <w:szCs w:val="24"/>
          <w:lang w:val="en-US" w:eastAsia="zh-CN" w:bidi="ar"/>
        </w:rPr>
        <w:t>dasar hukum yang relevan bagi pelaksanaan urusan kebudayaan</w:t>
      </w:r>
    </w:p>
    <w:p w14:paraId="77FE1BA5">
      <w:pPr>
        <w:rPr>
          <w:rFonts w:hint="default" w:ascii="Arial Regular" w:hAnsi="Arial Regular" w:cs="Arial Regular"/>
          <w:b w:val="0"/>
          <w:bCs w:val="0"/>
          <w:sz w:val="24"/>
          <w:szCs w:val="24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SimSun">
    <w:altName w:val="宋体-简"/>
    <w:panose1 w:val="02010600030101010101"/>
    <w:charset w:val="86"/>
    <w:family w:val="roman"/>
    <w:pitch w:val="variable"/>
    <w:sig w:usb0="00000003" w:usb1="288F0000" w:usb2="00000016" w:usb3="00000000" w:csb0="00040001" w:csb1="00000000"/>
  </w:font>
  <w:font w:name="Arial Regular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Arial Bold">
    <w:panose1 w:val="020B07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7C87F"/>
    <w:rsid w:val="3FF7C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Office_6.14.0.8716_F1E327BC-269C-435d-A152-05C5408002CA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2026-09-17T12:36:00Z</dcterms:created>
  <dc:creator>rivo wicakrosmario</dc:creator>
  <cp:lastModifiedBy>rivo wicakrosmario</cp:lastModifiedBy>
  <dcterms:modified xsi:type="dcterms:W3CDTF">2026-09-17T12:44:14Z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1033-6.14.0.8716</vt:lpwstr>
  </property>
  <property fmtid="{D5CDD505-2E9C-101B-9397-08002B2CF9AE}" pid="3" name="ICV">
    <vt:lpwstr>0717030F2F794C1E647CAB6A69F3C0DA_41</vt:lpwstr>
  </property>
</Properties>
</file>